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C33BD" w14:textId="77777777" w:rsidR="00346FA3" w:rsidRDefault="006D6847">
      <w:pPr>
        <w:rPr>
          <w:b/>
        </w:rPr>
      </w:pPr>
      <w:r>
        <w:rPr>
          <w:b/>
        </w:rPr>
        <w:t>Demographic profile of Marton Moss</w:t>
      </w:r>
    </w:p>
    <w:p w14:paraId="1B699262" w14:textId="77777777" w:rsidR="006D6847" w:rsidRPr="006D6847" w:rsidRDefault="006D6847">
      <w:pPr>
        <w:rPr>
          <w:b/>
        </w:rPr>
      </w:pPr>
      <w:r>
        <w:rPr>
          <w:b/>
        </w:rPr>
        <w:t>Data Source</w:t>
      </w:r>
    </w:p>
    <w:p w14:paraId="008EB157" w14:textId="4A3BF526" w:rsidR="00125518" w:rsidRPr="00125518" w:rsidRDefault="006D6847">
      <w:pPr>
        <w:rPr>
          <w:color w:val="0000FF" w:themeColor="hyperlink"/>
          <w:u w:val="single"/>
        </w:rPr>
      </w:pPr>
      <w:r>
        <w:t xml:space="preserve">The data in this note has been obtained from the 2011 Census. </w:t>
      </w:r>
      <w:r w:rsidR="00125518">
        <w:t>The next census will be in 2021.</w:t>
      </w:r>
      <w:r w:rsidR="008D5270">
        <w:t xml:space="preserve"> </w:t>
      </w:r>
      <w:r>
        <w:t xml:space="preserve">The Office for National Statistics (ONS), holds a wealth of [easily accessible information, which can be tailored to the specific study area. The data used to compile the profile for the Marton Moss area can be found at </w:t>
      </w:r>
      <w:hyperlink r:id="rId6" w:history="1">
        <w:r w:rsidRPr="008635E4">
          <w:rPr>
            <w:rStyle w:val="Hyperlink"/>
          </w:rPr>
          <w:t>www.nomisweb.co.uk</w:t>
        </w:r>
      </w:hyperlink>
    </w:p>
    <w:p w14:paraId="6C4528B3" w14:textId="77777777" w:rsidR="006D6847" w:rsidRDefault="006D6847">
      <w:r>
        <w:t>The physical boundaries of Marton Moss do not coincide with the boundaries of the Output Areas contained in the Census data (these are the smallest areas the census provides data on) but Census data available provides a useful tool for analysis.</w:t>
      </w:r>
    </w:p>
    <w:p w14:paraId="3437437A" w14:textId="77777777" w:rsidR="006D6847" w:rsidRDefault="006D6847">
      <w:r>
        <w:t xml:space="preserve">There are 5 Output Areas which encompass the boundaries of Marton Moss. These are </w:t>
      </w:r>
      <w:r>
        <w:rPr>
          <w:b/>
        </w:rPr>
        <w:t>E00064189, E00064199, E00064205, E00064206 and E00064208</w:t>
      </w:r>
      <w:r>
        <w:t xml:space="preserve">. </w:t>
      </w:r>
      <w:r>
        <w:rPr>
          <w:b/>
        </w:rPr>
        <w:t xml:space="preserve"> </w:t>
      </w:r>
      <w:r>
        <w:t xml:space="preserve"> </w:t>
      </w:r>
    </w:p>
    <w:p w14:paraId="47248140" w14:textId="77777777" w:rsidR="006D6847" w:rsidRDefault="006D6847">
      <w:r>
        <w:rPr>
          <w:b/>
        </w:rPr>
        <w:t>Population</w:t>
      </w:r>
    </w:p>
    <w:p w14:paraId="6588774C" w14:textId="0536EE91" w:rsidR="00014737" w:rsidRDefault="006D6847">
      <w:r>
        <w:t>In 2011 the total population of Marton Moss</w:t>
      </w:r>
      <w:r w:rsidR="00646227">
        <w:t xml:space="preserve"> was 1,616</w:t>
      </w:r>
      <w:r w:rsidR="003518B6">
        <w:t xml:space="preserve"> this has risen from 1,469 in 2001 but accounts for just </w:t>
      </w:r>
      <w:r w:rsidR="00646227">
        <w:t>1.13% of the total population of Blackpool (142,065</w:t>
      </w:r>
    </w:p>
    <w:p w14:paraId="3F559406" w14:textId="77EE0C11" w:rsidR="00014737" w:rsidRDefault="00014737">
      <w:r>
        <w:t xml:space="preserve">The age profile of </w:t>
      </w:r>
      <w:proofErr w:type="spellStart"/>
      <w:r>
        <w:t>Marton</w:t>
      </w:r>
      <w:proofErr w:type="spellEnd"/>
      <w:r>
        <w:t xml:space="preserve"> Moss closely follows Blackpool figures. </w:t>
      </w:r>
    </w:p>
    <w:p w14:paraId="511C75DB" w14:textId="77777777" w:rsidR="00014737" w:rsidRDefault="00014737">
      <w:r>
        <w:t xml:space="preserve">There are only 2 age categories where there is a higher than +/-1% percentage difference. Marton Moss has a slightly older profile with 3% fewer of the population aged 25-44 and 5% more of the population aged 45-64. </w:t>
      </w:r>
    </w:p>
    <w:p w14:paraId="4BE23DEE" w14:textId="77777777" w:rsidR="00014737" w:rsidRDefault="00014737">
      <w:r>
        <w:t>The age of the population is spread throughout the age groups, the largest numbers of people are aged between 25-44, 45-64 and 65+</w:t>
      </w:r>
      <w:r w:rsidR="0036601C">
        <w:t xml:space="preserve"> accounting for 1,190 people (74% of the population).</w:t>
      </w:r>
    </w:p>
    <w:p w14:paraId="416EB877" w14:textId="77777777" w:rsidR="007A360D" w:rsidRDefault="007A360D">
      <w:pPr>
        <w:rPr>
          <w:u w:val="single"/>
        </w:rPr>
      </w:pPr>
    </w:p>
    <w:p w14:paraId="4FA78160" w14:textId="35FAED54" w:rsidR="0036601C" w:rsidRDefault="0036601C">
      <w:pPr>
        <w:rPr>
          <w:u w:val="single"/>
        </w:rPr>
      </w:pPr>
      <w:r>
        <w:rPr>
          <w:u w:val="single"/>
        </w:rPr>
        <w:t xml:space="preserve"> Employment by Sector </w:t>
      </w:r>
      <w:r w:rsidR="00E20DB2">
        <w:rPr>
          <w:u w:val="single"/>
        </w:rPr>
        <w:t xml:space="preserve">in Marton Moss compared to Blackpool </w:t>
      </w:r>
    </w:p>
    <w:tbl>
      <w:tblPr>
        <w:tblW w:w="9620" w:type="dxa"/>
        <w:tblInd w:w="-287" w:type="dxa"/>
        <w:tblLook w:val="04A0" w:firstRow="1" w:lastRow="0" w:firstColumn="1" w:lastColumn="0" w:noHBand="0" w:noVBand="1"/>
      </w:tblPr>
      <w:tblGrid>
        <w:gridCol w:w="6660"/>
        <w:gridCol w:w="1480"/>
        <w:gridCol w:w="1480"/>
      </w:tblGrid>
      <w:tr w:rsidR="00E20DB2" w:rsidRPr="00E20DB2" w14:paraId="32F1E25A" w14:textId="77777777" w:rsidTr="00E20DB2">
        <w:trPr>
          <w:trHeight w:val="439"/>
        </w:trPr>
        <w:tc>
          <w:tcPr>
            <w:tcW w:w="6660" w:type="dxa"/>
            <w:tcBorders>
              <w:top w:val="single" w:sz="4" w:space="0" w:color="auto"/>
              <w:left w:val="single" w:sz="4" w:space="0" w:color="auto"/>
              <w:bottom w:val="single" w:sz="4" w:space="0" w:color="auto"/>
              <w:right w:val="single" w:sz="4" w:space="0" w:color="auto"/>
            </w:tcBorders>
            <w:shd w:val="clear" w:color="auto" w:fill="auto"/>
            <w:hideMark/>
          </w:tcPr>
          <w:p w14:paraId="681B190A" w14:textId="77777777" w:rsidR="00E20DB2" w:rsidRPr="00E20DB2" w:rsidRDefault="00E20DB2" w:rsidP="00E20DB2">
            <w:pPr>
              <w:spacing w:after="0" w:line="240" w:lineRule="auto"/>
              <w:jc w:val="center"/>
              <w:rPr>
                <w:rFonts w:eastAsia="Times New Roman" w:cs="Arial"/>
                <w:b/>
                <w:bCs/>
                <w:lang w:eastAsia="en-GB"/>
              </w:rPr>
            </w:pPr>
            <w:r w:rsidRPr="00E20DB2">
              <w:rPr>
                <w:rFonts w:eastAsia="Times New Roman" w:cs="Arial"/>
                <w:b/>
                <w:bCs/>
                <w:lang w:eastAsia="en-GB"/>
              </w:rPr>
              <w:t>Industry</w:t>
            </w:r>
          </w:p>
        </w:tc>
        <w:tc>
          <w:tcPr>
            <w:tcW w:w="1480" w:type="dxa"/>
            <w:tcBorders>
              <w:top w:val="single" w:sz="4" w:space="0" w:color="auto"/>
              <w:left w:val="nil"/>
              <w:bottom w:val="single" w:sz="4" w:space="0" w:color="auto"/>
              <w:right w:val="single" w:sz="4" w:space="0" w:color="auto"/>
            </w:tcBorders>
            <w:shd w:val="clear" w:color="auto" w:fill="auto"/>
            <w:noWrap/>
            <w:hideMark/>
          </w:tcPr>
          <w:p w14:paraId="729C7450" w14:textId="77777777" w:rsidR="00E20DB2" w:rsidRPr="00E20DB2" w:rsidRDefault="00E20DB2" w:rsidP="00E20DB2">
            <w:pPr>
              <w:spacing w:after="0" w:line="240" w:lineRule="auto"/>
              <w:jc w:val="center"/>
              <w:rPr>
                <w:rFonts w:eastAsia="Times New Roman" w:cs="Times New Roman"/>
                <w:b/>
                <w:bCs/>
                <w:color w:val="000000"/>
                <w:lang w:eastAsia="en-GB"/>
              </w:rPr>
            </w:pPr>
            <w:r w:rsidRPr="00E20DB2">
              <w:rPr>
                <w:rFonts w:eastAsia="Times New Roman" w:cs="Times New Roman"/>
                <w:b/>
                <w:bCs/>
                <w:color w:val="000000"/>
                <w:lang w:eastAsia="en-GB"/>
              </w:rPr>
              <w:t>Marton Moss</w:t>
            </w:r>
          </w:p>
        </w:tc>
        <w:tc>
          <w:tcPr>
            <w:tcW w:w="1480" w:type="dxa"/>
            <w:tcBorders>
              <w:top w:val="single" w:sz="4" w:space="0" w:color="auto"/>
              <w:left w:val="nil"/>
              <w:bottom w:val="single" w:sz="4" w:space="0" w:color="auto"/>
              <w:right w:val="single" w:sz="4" w:space="0" w:color="auto"/>
            </w:tcBorders>
            <w:shd w:val="clear" w:color="auto" w:fill="auto"/>
            <w:hideMark/>
          </w:tcPr>
          <w:p w14:paraId="77271F8A" w14:textId="77777777" w:rsidR="00E20DB2" w:rsidRPr="00E20DB2" w:rsidRDefault="00E20DB2" w:rsidP="00E20DB2">
            <w:pPr>
              <w:spacing w:after="0" w:line="240" w:lineRule="auto"/>
              <w:jc w:val="center"/>
              <w:rPr>
                <w:rFonts w:eastAsia="Times New Roman" w:cs="Arial"/>
                <w:b/>
                <w:bCs/>
                <w:lang w:eastAsia="en-GB"/>
              </w:rPr>
            </w:pPr>
            <w:r w:rsidRPr="00E20DB2">
              <w:rPr>
                <w:rFonts w:eastAsia="Times New Roman" w:cs="Arial"/>
                <w:b/>
                <w:bCs/>
                <w:lang w:eastAsia="en-GB"/>
              </w:rPr>
              <w:t>Blackpool</w:t>
            </w:r>
          </w:p>
        </w:tc>
      </w:tr>
      <w:tr w:rsidR="00E20DB2" w:rsidRPr="00E20DB2" w14:paraId="4B57FE50"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04855BDC"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A Agriculture, forestry and fishing</w:t>
            </w:r>
          </w:p>
        </w:tc>
        <w:tc>
          <w:tcPr>
            <w:tcW w:w="1480" w:type="dxa"/>
            <w:tcBorders>
              <w:top w:val="nil"/>
              <w:left w:val="nil"/>
              <w:bottom w:val="single" w:sz="4" w:space="0" w:color="auto"/>
              <w:right w:val="single" w:sz="4" w:space="0" w:color="auto"/>
            </w:tcBorders>
            <w:shd w:val="clear" w:color="auto" w:fill="auto"/>
            <w:noWrap/>
            <w:hideMark/>
          </w:tcPr>
          <w:p w14:paraId="0B21AD24"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0.3%</w:t>
            </w:r>
          </w:p>
        </w:tc>
        <w:tc>
          <w:tcPr>
            <w:tcW w:w="1480" w:type="dxa"/>
            <w:tcBorders>
              <w:top w:val="nil"/>
              <w:left w:val="nil"/>
              <w:bottom w:val="single" w:sz="4" w:space="0" w:color="auto"/>
              <w:right w:val="single" w:sz="4" w:space="0" w:color="auto"/>
            </w:tcBorders>
            <w:shd w:val="clear" w:color="auto" w:fill="auto"/>
            <w:noWrap/>
            <w:hideMark/>
          </w:tcPr>
          <w:p w14:paraId="25FBE39E"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0.1%</w:t>
            </w:r>
          </w:p>
        </w:tc>
      </w:tr>
      <w:tr w:rsidR="00E20DB2" w:rsidRPr="00E20DB2" w14:paraId="2F3640DE"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09C41BB5"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B Mining and quarrying</w:t>
            </w:r>
          </w:p>
        </w:tc>
        <w:tc>
          <w:tcPr>
            <w:tcW w:w="1480" w:type="dxa"/>
            <w:tcBorders>
              <w:top w:val="nil"/>
              <w:left w:val="nil"/>
              <w:bottom w:val="single" w:sz="4" w:space="0" w:color="auto"/>
              <w:right w:val="single" w:sz="4" w:space="0" w:color="auto"/>
            </w:tcBorders>
            <w:shd w:val="clear" w:color="auto" w:fill="auto"/>
            <w:noWrap/>
            <w:hideMark/>
          </w:tcPr>
          <w:p w14:paraId="43679DA9"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0.1%</w:t>
            </w:r>
          </w:p>
        </w:tc>
        <w:tc>
          <w:tcPr>
            <w:tcW w:w="1480" w:type="dxa"/>
            <w:tcBorders>
              <w:top w:val="nil"/>
              <w:left w:val="nil"/>
              <w:bottom w:val="single" w:sz="4" w:space="0" w:color="auto"/>
              <w:right w:val="single" w:sz="4" w:space="0" w:color="auto"/>
            </w:tcBorders>
            <w:shd w:val="clear" w:color="auto" w:fill="auto"/>
            <w:noWrap/>
            <w:hideMark/>
          </w:tcPr>
          <w:p w14:paraId="79182AFE"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0.1%</w:t>
            </w:r>
          </w:p>
        </w:tc>
      </w:tr>
      <w:tr w:rsidR="00E20DB2" w:rsidRPr="00E20DB2" w14:paraId="6D770695"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4F636262"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C Manufacturing</w:t>
            </w:r>
          </w:p>
        </w:tc>
        <w:tc>
          <w:tcPr>
            <w:tcW w:w="1480" w:type="dxa"/>
            <w:tcBorders>
              <w:top w:val="nil"/>
              <w:left w:val="nil"/>
              <w:bottom w:val="single" w:sz="4" w:space="0" w:color="auto"/>
              <w:right w:val="single" w:sz="4" w:space="0" w:color="auto"/>
            </w:tcBorders>
            <w:shd w:val="clear" w:color="auto" w:fill="auto"/>
            <w:noWrap/>
            <w:hideMark/>
          </w:tcPr>
          <w:p w14:paraId="32C22C5C"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9.6%</w:t>
            </w:r>
          </w:p>
        </w:tc>
        <w:tc>
          <w:tcPr>
            <w:tcW w:w="1480" w:type="dxa"/>
            <w:tcBorders>
              <w:top w:val="nil"/>
              <w:left w:val="nil"/>
              <w:bottom w:val="single" w:sz="4" w:space="0" w:color="auto"/>
              <w:right w:val="single" w:sz="4" w:space="0" w:color="auto"/>
            </w:tcBorders>
            <w:shd w:val="clear" w:color="auto" w:fill="auto"/>
            <w:noWrap/>
            <w:hideMark/>
          </w:tcPr>
          <w:p w14:paraId="5E2C8855"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8.5%</w:t>
            </w:r>
          </w:p>
        </w:tc>
      </w:tr>
      <w:tr w:rsidR="00E20DB2" w:rsidRPr="00E20DB2" w14:paraId="78350A8D" w14:textId="77777777" w:rsidTr="00E20DB2">
        <w:trPr>
          <w:trHeight w:val="330"/>
        </w:trPr>
        <w:tc>
          <w:tcPr>
            <w:tcW w:w="6660" w:type="dxa"/>
            <w:tcBorders>
              <w:top w:val="nil"/>
              <w:left w:val="single" w:sz="4" w:space="0" w:color="auto"/>
              <w:bottom w:val="single" w:sz="4" w:space="0" w:color="auto"/>
              <w:right w:val="single" w:sz="4" w:space="0" w:color="auto"/>
            </w:tcBorders>
            <w:shd w:val="clear" w:color="auto" w:fill="auto"/>
            <w:noWrap/>
            <w:hideMark/>
          </w:tcPr>
          <w:p w14:paraId="0A447CF1"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 xml:space="preserve">D Electricity, gas, steam and air conditioning supply </w:t>
            </w:r>
          </w:p>
        </w:tc>
        <w:tc>
          <w:tcPr>
            <w:tcW w:w="1480" w:type="dxa"/>
            <w:tcBorders>
              <w:top w:val="nil"/>
              <w:left w:val="nil"/>
              <w:bottom w:val="single" w:sz="4" w:space="0" w:color="auto"/>
              <w:right w:val="single" w:sz="4" w:space="0" w:color="auto"/>
            </w:tcBorders>
            <w:shd w:val="clear" w:color="auto" w:fill="auto"/>
            <w:noWrap/>
            <w:hideMark/>
          </w:tcPr>
          <w:p w14:paraId="0079D1F1"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0.3%</w:t>
            </w:r>
          </w:p>
        </w:tc>
        <w:tc>
          <w:tcPr>
            <w:tcW w:w="1480" w:type="dxa"/>
            <w:tcBorders>
              <w:top w:val="nil"/>
              <w:left w:val="nil"/>
              <w:bottom w:val="single" w:sz="4" w:space="0" w:color="auto"/>
              <w:right w:val="single" w:sz="4" w:space="0" w:color="auto"/>
            </w:tcBorders>
            <w:shd w:val="clear" w:color="auto" w:fill="auto"/>
            <w:noWrap/>
            <w:hideMark/>
          </w:tcPr>
          <w:p w14:paraId="5C77BA5B"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0.4%</w:t>
            </w:r>
          </w:p>
        </w:tc>
      </w:tr>
      <w:tr w:rsidR="00E20DB2" w:rsidRPr="00E20DB2" w14:paraId="62D58FFB"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25E2B232"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E Water supply; sewerage, waste management and remediation activities</w:t>
            </w:r>
          </w:p>
        </w:tc>
        <w:tc>
          <w:tcPr>
            <w:tcW w:w="1480" w:type="dxa"/>
            <w:tcBorders>
              <w:top w:val="nil"/>
              <w:left w:val="nil"/>
              <w:bottom w:val="single" w:sz="4" w:space="0" w:color="auto"/>
              <w:right w:val="single" w:sz="4" w:space="0" w:color="auto"/>
            </w:tcBorders>
            <w:shd w:val="clear" w:color="auto" w:fill="auto"/>
            <w:noWrap/>
            <w:hideMark/>
          </w:tcPr>
          <w:p w14:paraId="04DADC18"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0.8%</w:t>
            </w:r>
          </w:p>
        </w:tc>
        <w:tc>
          <w:tcPr>
            <w:tcW w:w="1480" w:type="dxa"/>
            <w:tcBorders>
              <w:top w:val="nil"/>
              <w:left w:val="nil"/>
              <w:bottom w:val="single" w:sz="4" w:space="0" w:color="auto"/>
              <w:right w:val="single" w:sz="4" w:space="0" w:color="auto"/>
            </w:tcBorders>
            <w:shd w:val="clear" w:color="auto" w:fill="auto"/>
            <w:noWrap/>
            <w:hideMark/>
          </w:tcPr>
          <w:p w14:paraId="5B3A3379"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0.5%</w:t>
            </w:r>
          </w:p>
        </w:tc>
      </w:tr>
      <w:tr w:rsidR="00E20DB2" w:rsidRPr="00E20DB2" w14:paraId="26583C31"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36018705"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F Construction</w:t>
            </w:r>
          </w:p>
        </w:tc>
        <w:tc>
          <w:tcPr>
            <w:tcW w:w="1480" w:type="dxa"/>
            <w:tcBorders>
              <w:top w:val="nil"/>
              <w:left w:val="nil"/>
              <w:bottom w:val="single" w:sz="4" w:space="0" w:color="auto"/>
              <w:right w:val="single" w:sz="4" w:space="0" w:color="auto"/>
            </w:tcBorders>
            <w:shd w:val="clear" w:color="auto" w:fill="auto"/>
            <w:noWrap/>
            <w:hideMark/>
          </w:tcPr>
          <w:p w14:paraId="73A5A7CD"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11.5%</w:t>
            </w:r>
          </w:p>
        </w:tc>
        <w:tc>
          <w:tcPr>
            <w:tcW w:w="1480" w:type="dxa"/>
            <w:tcBorders>
              <w:top w:val="nil"/>
              <w:left w:val="nil"/>
              <w:bottom w:val="single" w:sz="4" w:space="0" w:color="auto"/>
              <w:right w:val="single" w:sz="4" w:space="0" w:color="auto"/>
            </w:tcBorders>
            <w:shd w:val="clear" w:color="auto" w:fill="auto"/>
            <w:noWrap/>
            <w:hideMark/>
          </w:tcPr>
          <w:p w14:paraId="35234D46"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7.7%</w:t>
            </w:r>
          </w:p>
        </w:tc>
      </w:tr>
      <w:tr w:rsidR="00E20DB2" w:rsidRPr="00E20DB2" w14:paraId="29782324"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2209DB66"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G Wholesale and retail trade; repair of motor vehicles and motor cycles</w:t>
            </w:r>
          </w:p>
        </w:tc>
        <w:tc>
          <w:tcPr>
            <w:tcW w:w="1480" w:type="dxa"/>
            <w:tcBorders>
              <w:top w:val="nil"/>
              <w:left w:val="nil"/>
              <w:bottom w:val="single" w:sz="4" w:space="0" w:color="auto"/>
              <w:right w:val="single" w:sz="4" w:space="0" w:color="auto"/>
            </w:tcBorders>
            <w:shd w:val="clear" w:color="auto" w:fill="auto"/>
            <w:noWrap/>
            <w:hideMark/>
          </w:tcPr>
          <w:p w14:paraId="6F32A959"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19.0%</w:t>
            </w:r>
          </w:p>
        </w:tc>
        <w:tc>
          <w:tcPr>
            <w:tcW w:w="1480" w:type="dxa"/>
            <w:tcBorders>
              <w:top w:val="nil"/>
              <w:left w:val="nil"/>
              <w:bottom w:val="single" w:sz="4" w:space="0" w:color="auto"/>
              <w:right w:val="single" w:sz="4" w:space="0" w:color="auto"/>
            </w:tcBorders>
            <w:shd w:val="clear" w:color="auto" w:fill="auto"/>
            <w:noWrap/>
            <w:hideMark/>
          </w:tcPr>
          <w:p w14:paraId="0597BE9C"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17.3%</w:t>
            </w:r>
          </w:p>
        </w:tc>
      </w:tr>
      <w:tr w:rsidR="00E20DB2" w:rsidRPr="00E20DB2" w14:paraId="510BF180"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00E8E5F6"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H Transport and storage</w:t>
            </w:r>
          </w:p>
        </w:tc>
        <w:tc>
          <w:tcPr>
            <w:tcW w:w="1480" w:type="dxa"/>
            <w:tcBorders>
              <w:top w:val="nil"/>
              <w:left w:val="nil"/>
              <w:bottom w:val="single" w:sz="4" w:space="0" w:color="auto"/>
              <w:right w:val="single" w:sz="4" w:space="0" w:color="auto"/>
            </w:tcBorders>
            <w:shd w:val="clear" w:color="auto" w:fill="auto"/>
            <w:noWrap/>
            <w:hideMark/>
          </w:tcPr>
          <w:p w14:paraId="01CAC598"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4.5%</w:t>
            </w:r>
          </w:p>
        </w:tc>
        <w:tc>
          <w:tcPr>
            <w:tcW w:w="1480" w:type="dxa"/>
            <w:tcBorders>
              <w:top w:val="nil"/>
              <w:left w:val="nil"/>
              <w:bottom w:val="single" w:sz="4" w:space="0" w:color="auto"/>
              <w:right w:val="single" w:sz="4" w:space="0" w:color="auto"/>
            </w:tcBorders>
            <w:shd w:val="clear" w:color="auto" w:fill="auto"/>
            <w:noWrap/>
            <w:hideMark/>
          </w:tcPr>
          <w:p w14:paraId="5B0B06AD"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5.1%</w:t>
            </w:r>
          </w:p>
        </w:tc>
      </w:tr>
      <w:tr w:rsidR="00E20DB2" w:rsidRPr="00E20DB2" w14:paraId="3BF81B21"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523C9424"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I Accommodation and food service activities</w:t>
            </w:r>
          </w:p>
        </w:tc>
        <w:tc>
          <w:tcPr>
            <w:tcW w:w="1480" w:type="dxa"/>
            <w:tcBorders>
              <w:top w:val="nil"/>
              <w:left w:val="nil"/>
              <w:bottom w:val="single" w:sz="4" w:space="0" w:color="auto"/>
              <w:right w:val="single" w:sz="4" w:space="0" w:color="auto"/>
            </w:tcBorders>
            <w:shd w:val="clear" w:color="auto" w:fill="auto"/>
            <w:noWrap/>
            <w:hideMark/>
          </w:tcPr>
          <w:p w14:paraId="790BFE58"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7.9%</w:t>
            </w:r>
          </w:p>
        </w:tc>
        <w:tc>
          <w:tcPr>
            <w:tcW w:w="1480" w:type="dxa"/>
            <w:tcBorders>
              <w:top w:val="nil"/>
              <w:left w:val="nil"/>
              <w:bottom w:val="single" w:sz="4" w:space="0" w:color="auto"/>
              <w:right w:val="single" w:sz="4" w:space="0" w:color="auto"/>
            </w:tcBorders>
            <w:shd w:val="clear" w:color="auto" w:fill="auto"/>
            <w:noWrap/>
            <w:hideMark/>
          </w:tcPr>
          <w:p w14:paraId="5C296AEE"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12.9%</w:t>
            </w:r>
          </w:p>
        </w:tc>
      </w:tr>
      <w:tr w:rsidR="00E20DB2" w:rsidRPr="00E20DB2" w14:paraId="3B244F4B"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3835A5B1"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J Information and communication</w:t>
            </w:r>
          </w:p>
        </w:tc>
        <w:tc>
          <w:tcPr>
            <w:tcW w:w="1480" w:type="dxa"/>
            <w:tcBorders>
              <w:top w:val="nil"/>
              <w:left w:val="nil"/>
              <w:bottom w:val="single" w:sz="4" w:space="0" w:color="auto"/>
              <w:right w:val="single" w:sz="4" w:space="0" w:color="auto"/>
            </w:tcBorders>
            <w:shd w:val="clear" w:color="auto" w:fill="auto"/>
            <w:noWrap/>
            <w:hideMark/>
          </w:tcPr>
          <w:p w14:paraId="7D2255EF"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2.5%</w:t>
            </w:r>
          </w:p>
        </w:tc>
        <w:tc>
          <w:tcPr>
            <w:tcW w:w="1480" w:type="dxa"/>
            <w:tcBorders>
              <w:top w:val="nil"/>
              <w:left w:val="nil"/>
              <w:bottom w:val="single" w:sz="4" w:space="0" w:color="auto"/>
              <w:right w:val="single" w:sz="4" w:space="0" w:color="auto"/>
            </w:tcBorders>
            <w:shd w:val="clear" w:color="auto" w:fill="auto"/>
            <w:noWrap/>
            <w:hideMark/>
          </w:tcPr>
          <w:p w14:paraId="29479B7A"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2.2%</w:t>
            </w:r>
          </w:p>
        </w:tc>
      </w:tr>
      <w:tr w:rsidR="00E20DB2" w:rsidRPr="00E20DB2" w14:paraId="7042CD41"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7B02BE05"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K Financial and insurance activities</w:t>
            </w:r>
          </w:p>
        </w:tc>
        <w:tc>
          <w:tcPr>
            <w:tcW w:w="1480" w:type="dxa"/>
            <w:tcBorders>
              <w:top w:val="nil"/>
              <w:left w:val="nil"/>
              <w:bottom w:val="single" w:sz="4" w:space="0" w:color="auto"/>
              <w:right w:val="single" w:sz="4" w:space="0" w:color="auto"/>
            </w:tcBorders>
            <w:shd w:val="clear" w:color="auto" w:fill="auto"/>
            <w:noWrap/>
            <w:hideMark/>
          </w:tcPr>
          <w:p w14:paraId="3340B47D"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3.3%</w:t>
            </w:r>
          </w:p>
        </w:tc>
        <w:tc>
          <w:tcPr>
            <w:tcW w:w="1480" w:type="dxa"/>
            <w:tcBorders>
              <w:top w:val="nil"/>
              <w:left w:val="nil"/>
              <w:bottom w:val="single" w:sz="4" w:space="0" w:color="auto"/>
              <w:right w:val="single" w:sz="4" w:space="0" w:color="auto"/>
            </w:tcBorders>
            <w:shd w:val="clear" w:color="auto" w:fill="auto"/>
            <w:noWrap/>
            <w:hideMark/>
          </w:tcPr>
          <w:p w14:paraId="5458DDD3"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3.0%</w:t>
            </w:r>
          </w:p>
        </w:tc>
      </w:tr>
      <w:tr w:rsidR="00E20DB2" w:rsidRPr="00E20DB2" w14:paraId="60587763"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4DC91C24"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L Real estate activities</w:t>
            </w:r>
          </w:p>
        </w:tc>
        <w:tc>
          <w:tcPr>
            <w:tcW w:w="1480" w:type="dxa"/>
            <w:tcBorders>
              <w:top w:val="nil"/>
              <w:left w:val="nil"/>
              <w:bottom w:val="single" w:sz="4" w:space="0" w:color="auto"/>
              <w:right w:val="single" w:sz="4" w:space="0" w:color="auto"/>
            </w:tcBorders>
            <w:shd w:val="clear" w:color="auto" w:fill="auto"/>
            <w:noWrap/>
            <w:hideMark/>
          </w:tcPr>
          <w:p w14:paraId="37496FB7"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1.8%</w:t>
            </w:r>
          </w:p>
        </w:tc>
        <w:tc>
          <w:tcPr>
            <w:tcW w:w="1480" w:type="dxa"/>
            <w:tcBorders>
              <w:top w:val="nil"/>
              <w:left w:val="nil"/>
              <w:bottom w:val="single" w:sz="4" w:space="0" w:color="auto"/>
              <w:right w:val="single" w:sz="4" w:space="0" w:color="auto"/>
            </w:tcBorders>
            <w:shd w:val="clear" w:color="auto" w:fill="auto"/>
            <w:noWrap/>
            <w:hideMark/>
          </w:tcPr>
          <w:p w14:paraId="174F82C5"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1.1%</w:t>
            </w:r>
          </w:p>
        </w:tc>
      </w:tr>
      <w:tr w:rsidR="00E20DB2" w:rsidRPr="00E20DB2" w14:paraId="4E247314"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3CE8F72B"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M Professional, scientific and technical activities</w:t>
            </w:r>
          </w:p>
        </w:tc>
        <w:tc>
          <w:tcPr>
            <w:tcW w:w="1480" w:type="dxa"/>
            <w:tcBorders>
              <w:top w:val="nil"/>
              <w:left w:val="nil"/>
              <w:bottom w:val="single" w:sz="4" w:space="0" w:color="auto"/>
              <w:right w:val="single" w:sz="4" w:space="0" w:color="auto"/>
            </w:tcBorders>
            <w:shd w:val="clear" w:color="auto" w:fill="auto"/>
            <w:noWrap/>
            <w:hideMark/>
          </w:tcPr>
          <w:p w14:paraId="505EFD2B"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6.3%</w:t>
            </w:r>
          </w:p>
        </w:tc>
        <w:tc>
          <w:tcPr>
            <w:tcW w:w="1480" w:type="dxa"/>
            <w:tcBorders>
              <w:top w:val="nil"/>
              <w:left w:val="nil"/>
              <w:bottom w:val="single" w:sz="4" w:space="0" w:color="auto"/>
              <w:right w:val="single" w:sz="4" w:space="0" w:color="auto"/>
            </w:tcBorders>
            <w:shd w:val="clear" w:color="auto" w:fill="auto"/>
            <w:noWrap/>
            <w:hideMark/>
          </w:tcPr>
          <w:p w14:paraId="67233E93"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3.4%</w:t>
            </w:r>
          </w:p>
        </w:tc>
      </w:tr>
      <w:tr w:rsidR="00E20DB2" w:rsidRPr="00E20DB2" w14:paraId="7F9B769D"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675FB2C2"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lastRenderedPageBreak/>
              <w:t>N Administrative and support service activities</w:t>
            </w:r>
          </w:p>
        </w:tc>
        <w:tc>
          <w:tcPr>
            <w:tcW w:w="1480" w:type="dxa"/>
            <w:tcBorders>
              <w:top w:val="nil"/>
              <w:left w:val="nil"/>
              <w:bottom w:val="single" w:sz="4" w:space="0" w:color="auto"/>
              <w:right w:val="single" w:sz="4" w:space="0" w:color="auto"/>
            </w:tcBorders>
            <w:shd w:val="clear" w:color="auto" w:fill="auto"/>
            <w:noWrap/>
            <w:hideMark/>
          </w:tcPr>
          <w:p w14:paraId="5D59BD47"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2.9%</w:t>
            </w:r>
          </w:p>
        </w:tc>
        <w:tc>
          <w:tcPr>
            <w:tcW w:w="1480" w:type="dxa"/>
            <w:tcBorders>
              <w:top w:val="nil"/>
              <w:left w:val="nil"/>
              <w:bottom w:val="single" w:sz="4" w:space="0" w:color="auto"/>
              <w:right w:val="single" w:sz="4" w:space="0" w:color="auto"/>
            </w:tcBorders>
            <w:shd w:val="clear" w:color="auto" w:fill="auto"/>
            <w:noWrap/>
            <w:hideMark/>
          </w:tcPr>
          <w:p w14:paraId="56BF2FD9"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4.8%</w:t>
            </w:r>
          </w:p>
        </w:tc>
      </w:tr>
      <w:tr w:rsidR="00E20DB2" w:rsidRPr="00E20DB2" w14:paraId="39EFD679"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0A225CA0"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O Public administration and defence; compulsory social security</w:t>
            </w:r>
          </w:p>
        </w:tc>
        <w:tc>
          <w:tcPr>
            <w:tcW w:w="1480" w:type="dxa"/>
            <w:tcBorders>
              <w:top w:val="nil"/>
              <w:left w:val="nil"/>
              <w:bottom w:val="single" w:sz="4" w:space="0" w:color="auto"/>
              <w:right w:val="single" w:sz="4" w:space="0" w:color="auto"/>
            </w:tcBorders>
            <w:shd w:val="clear" w:color="auto" w:fill="auto"/>
            <w:noWrap/>
            <w:hideMark/>
          </w:tcPr>
          <w:p w14:paraId="634815B4"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8.9%</w:t>
            </w:r>
          </w:p>
        </w:tc>
        <w:tc>
          <w:tcPr>
            <w:tcW w:w="1480" w:type="dxa"/>
            <w:tcBorders>
              <w:top w:val="nil"/>
              <w:left w:val="nil"/>
              <w:bottom w:val="single" w:sz="4" w:space="0" w:color="auto"/>
              <w:right w:val="single" w:sz="4" w:space="0" w:color="auto"/>
            </w:tcBorders>
            <w:shd w:val="clear" w:color="auto" w:fill="auto"/>
            <w:noWrap/>
            <w:hideMark/>
          </w:tcPr>
          <w:p w14:paraId="5F758157"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10.0%</w:t>
            </w:r>
          </w:p>
        </w:tc>
      </w:tr>
      <w:tr w:rsidR="00E20DB2" w:rsidRPr="00E20DB2" w14:paraId="7775A040"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4103C110"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P Education</w:t>
            </w:r>
          </w:p>
        </w:tc>
        <w:tc>
          <w:tcPr>
            <w:tcW w:w="1480" w:type="dxa"/>
            <w:tcBorders>
              <w:top w:val="nil"/>
              <w:left w:val="nil"/>
              <w:bottom w:val="single" w:sz="4" w:space="0" w:color="auto"/>
              <w:right w:val="single" w:sz="4" w:space="0" w:color="auto"/>
            </w:tcBorders>
            <w:shd w:val="clear" w:color="auto" w:fill="auto"/>
            <w:noWrap/>
            <w:hideMark/>
          </w:tcPr>
          <w:p w14:paraId="48126C3D"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7.3%</w:t>
            </w:r>
          </w:p>
        </w:tc>
        <w:tc>
          <w:tcPr>
            <w:tcW w:w="1480" w:type="dxa"/>
            <w:tcBorders>
              <w:top w:val="nil"/>
              <w:left w:val="nil"/>
              <w:bottom w:val="single" w:sz="4" w:space="0" w:color="auto"/>
              <w:right w:val="single" w:sz="4" w:space="0" w:color="auto"/>
            </w:tcBorders>
            <w:shd w:val="clear" w:color="auto" w:fill="auto"/>
            <w:noWrap/>
            <w:hideMark/>
          </w:tcPr>
          <w:p w14:paraId="05CF2972"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7.1%</w:t>
            </w:r>
          </w:p>
        </w:tc>
      </w:tr>
      <w:tr w:rsidR="00E20DB2" w:rsidRPr="00E20DB2" w14:paraId="5887C48D"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hideMark/>
          </w:tcPr>
          <w:p w14:paraId="7691AD09" w14:textId="77777777" w:rsidR="00E20DB2" w:rsidRPr="00E20DB2" w:rsidRDefault="00E20DB2" w:rsidP="00E20DB2">
            <w:pPr>
              <w:spacing w:after="0" w:line="240" w:lineRule="auto"/>
              <w:rPr>
                <w:rFonts w:eastAsia="Times New Roman" w:cs="Arial"/>
                <w:lang w:eastAsia="en-GB"/>
              </w:rPr>
            </w:pPr>
            <w:r w:rsidRPr="00E20DB2">
              <w:rPr>
                <w:rFonts w:eastAsia="Times New Roman" w:cs="Arial"/>
                <w:lang w:eastAsia="en-GB"/>
              </w:rPr>
              <w:t>Q Human health and social work activities</w:t>
            </w:r>
          </w:p>
        </w:tc>
        <w:tc>
          <w:tcPr>
            <w:tcW w:w="1480" w:type="dxa"/>
            <w:tcBorders>
              <w:top w:val="nil"/>
              <w:left w:val="nil"/>
              <w:bottom w:val="single" w:sz="4" w:space="0" w:color="auto"/>
              <w:right w:val="single" w:sz="4" w:space="0" w:color="auto"/>
            </w:tcBorders>
            <w:shd w:val="clear" w:color="auto" w:fill="auto"/>
            <w:noWrap/>
            <w:hideMark/>
          </w:tcPr>
          <w:p w14:paraId="4DA820CA"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13.0%</w:t>
            </w:r>
          </w:p>
        </w:tc>
        <w:tc>
          <w:tcPr>
            <w:tcW w:w="1480" w:type="dxa"/>
            <w:tcBorders>
              <w:top w:val="nil"/>
              <w:left w:val="nil"/>
              <w:bottom w:val="single" w:sz="4" w:space="0" w:color="auto"/>
              <w:right w:val="single" w:sz="4" w:space="0" w:color="auto"/>
            </w:tcBorders>
            <w:shd w:val="clear" w:color="auto" w:fill="auto"/>
            <w:noWrap/>
            <w:hideMark/>
          </w:tcPr>
          <w:p w14:paraId="45FEBC3A" w14:textId="77777777" w:rsidR="00E20DB2" w:rsidRPr="00E20DB2" w:rsidRDefault="00E20DB2" w:rsidP="00E20DB2">
            <w:pPr>
              <w:spacing w:after="0" w:line="240" w:lineRule="auto"/>
              <w:jc w:val="right"/>
              <w:rPr>
                <w:rFonts w:eastAsia="Times New Roman" w:cs="Arial"/>
                <w:lang w:eastAsia="en-GB"/>
              </w:rPr>
            </w:pPr>
            <w:r w:rsidRPr="00E20DB2">
              <w:rPr>
                <w:rFonts w:eastAsia="Times New Roman" w:cs="Arial"/>
                <w:lang w:eastAsia="en-GB"/>
              </w:rPr>
              <w:t>15.9%</w:t>
            </w:r>
          </w:p>
        </w:tc>
      </w:tr>
      <w:tr w:rsidR="00E20DB2" w:rsidRPr="00E20DB2" w14:paraId="60646497" w14:textId="77777777" w:rsidTr="00E20DB2">
        <w:trPr>
          <w:trHeight w:val="300"/>
        </w:trPr>
        <w:tc>
          <w:tcPr>
            <w:tcW w:w="6660" w:type="dxa"/>
            <w:tcBorders>
              <w:top w:val="nil"/>
              <w:left w:val="single" w:sz="4" w:space="0" w:color="auto"/>
              <w:bottom w:val="single" w:sz="4" w:space="0" w:color="auto"/>
              <w:right w:val="single" w:sz="4" w:space="0" w:color="auto"/>
            </w:tcBorders>
            <w:shd w:val="clear" w:color="auto" w:fill="auto"/>
            <w:noWrap/>
            <w:vAlign w:val="bottom"/>
            <w:hideMark/>
          </w:tcPr>
          <w:p w14:paraId="6B8C3A00" w14:textId="77777777" w:rsidR="00E20DB2" w:rsidRPr="00E20DB2" w:rsidRDefault="00E20DB2" w:rsidP="00E20DB2">
            <w:pPr>
              <w:spacing w:after="0" w:line="240" w:lineRule="auto"/>
              <w:rPr>
                <w:rFonts w:eastAsia="Times New Roman" w:cs="Times New Roman"/>
                <w:b/>
                <w:color w:val="000000"/>
                <w:lang w:eastAsia="en-GB"/>
              </w:rPr>
            </w:pPr>
            <w:r w:rsidRPr="00E20DB2">
              <w:rPr>
                <w:rFonts w:eastAsia="Times New Roman" w:cs="Times New Roman"/>
                <w:b/>
                <w:color w:val="000000"/>
                <w:lang w:eastAsia="en-GB"/>
              </w:rPr>
              <w:t> Total</w:t>
            </w:r>
          </w:p>
        </w:tc>
        <w:tc>
          <w:tcPr>
            <w:tcW w:w="1480" w:type="dxa"/>
            <w:tcBorders>
              <w:top w:val="nil"/>
              <w:left w:val="nil"/>
              <w:bottom w:val="single" w:sz="4" w:space="0" w:color="auto"/>
              <w:right w:val="single" w:sz="4" w:space="0" w:color="auto"/>
            </w:tcBorders>
            <w:shd w:val="clear" w:color="auto" w:fill="auto"/>
            <w:noWrap/>
            <w:hideMark/>
          </w:tcPr>
          <w:p w14:paraId="7D99F799" w14:textId="77777777" w:rsidR="00E20DB2" w:rsidRPr="00E20DB2" w:rsidRDefault="00E20DB2" w:rsidP="00E20DB2">
            <w:pPr>
              <w:spacing w:after="0" w:line="240" w:lineRule="auto"/>
              <w:jc w:val="right"/>
              <w:rPr>
                <w:rFonts w:eastAsia="Times New Roman" w:cs="Arial"/>
                <w:b/>
                <w:lang w:eastAsia="en-GB"/>
              </w:rPr>
            </w:pPr>
            <w:r w:rsidRPr="00E20DB2">
              <w:rPr>
                <w:rFonts w:eastAsia="Times New Roman" w:cs="Arial"/>
                <w:b/>
                <w:lang w:eastAsia="en-GB"/>
              </w:rPr>
              <w:t>764.00</w:t>
            </w:r>
          </w:p>
        </w:tc>
        <w:tc>
          <w:tcPr>
            <w:tcW w:w="1480" w:type="dxa"/>
            <w:tcBorders>
              <w:top w:val="nil"/>
              <w:left w:val="nil"/>
              <w:bottom w:val="single" w:sz="4" w:space="0" w:color="auto"/>
              <w:right w:val="single" w:sz="4" w:space="0" w:color="auto"/>
            </w:tcBorders>
            <w:shd w:val="clear" w:color="auto" w:fill="auto"/>
            <w:noWrap/>
            <w:hideMark/>
          </w:tcPr>
          <w:p w14:paraId="16BCB47A" w14:textId="77777777" w:rsidR="00E20DB2" w:rsidRPr="00E20DB2" w:rsidRDefault="00E20DB2" w:rsidP="00E20DB2">
            <w:pPr>
              <w:spacing w:after="0" w:line="240" w:lineRule="auto"/>
              <w:jc w:val="right"/>
              <w:rPr>
                <w:rFonts w:eastAsia="Times New Roman" w:cs="Arial"/>
                <w:b/>
                <w:lang w:eastAsia="en-GB"/>
              </w:rPr>
            </w:pPr>
            <w:r w:rsidRPr="00E20DB2">
              <w:rPr>
                <w:rFonts w:eastAsia="Times New Roman" w:cs="Arial"/>
                <w:b/>
                <w:lang w:eastAsia="en-GB"/>
              </w:rPr>
              <w:t>57,697</w:t>
            </w:r>
          </w:p>
        </w:tc>
      </w:tr>
    </w:tbl>
    <w:p w14:paraId="0673DE82" w14:textId="77777777" w:rsidR="00E20DB2" w:rsidRDefault="00E20DB2"/>
    <w:p w14:paraId="262BD90D" w14:textId="77777777" w:rsidR="00E20DB2" w:rsidRDefault="00E20DB2">
      <w:r>
        <w:t>Construction, Wholesale and retail trade; repair of motor vehicles and motor cycles and Human health and social work activities are the three biggest employers on the Moss at (11.5%, 19% and 13% respectively). 0.3% of people who live on the Moss work in agriculture.</w:t>
      </w:r>
    </w:p>
    <w:p w14:paraId="47095F70" w14:textId="4A7F3895" w:rsidR="007A360D" w:rsidRDefault="00E20DB2">
      <w:r>
        <w:t xml:space="preserve">Compared with the 2001 census data which showed the three highest employed industries </w:t>
      </w:r>
      <w:r w:rsidR="00FC6CD6">
        <w:t xml:space="preserve">were; </w:t>
      </w:r>
      <w:r>
        <w:t xml:space="preserve">Wholesale &amp; retail trade; repair of motor vehicles, Health and Social Work and Manufacturing (21%, 12% and 11% respectively). 10% of the population were employed in Real Estate and </w:t>
      </w:r>
      <w:r w:rsidR="00FC6CD6">
        <w:t>3% of the population were</w:t>
      </w:r>
      <w:r>
        <w:t xml:space="preserve"> employed in Agriculture.  </w:t>
      </w:r>
    </w:p>
    <w:p w14:paraId="0DAA793C" w14:textId="071CA50E" w:rsidR="00F47F13" w:rsidRPr="00A762D5" w:rsidRDefault="00A762D5">
      <w:pPr>
        <w:rPr>
          <w:b/>
          <w:bCs/>
        </w:rPr>
      </w:pPr>
      <w:r>
        <w:rPr>
          <w:b/>
          <w:bCs/>
        </w:rPr>
        <w:t>Types of</w:t>
      </w:r>
      <w:r w:rsidR="00081CC6">
        <w:rPr>
          <w:b/>
          <w:bCs/>
        </w:rPr>
        <w:t xml:space="preserve"> Housing.</w:t>
      </w:r>
      <w:bookmarkStart w:id="0" w:name="_GoBack"/>
      <w:bookmarkEnd w:id="0"/>
    </w:p>
    <w:p w14:paraId="4D9F1A70" w14:textId="0CCE519C" w:rsidR="007A360D" w:rsidRPr="007A360D" w:rsidRDefault="007A360D">
      <w:r>
        <w:t xml:space="preserve"> 40% of the population on the Moss live in a detached house or bungalow in 2011 (compared to 42% in 2001). This is a much higher proportion of the population compared to 9% living in a detached dwelling in Blackpool (compared to 8.2% in 2001). 23% of the population live in a semi detached house ( compared with 37% in 2001), 30% in terraced houses (this has not changed since 2001). 5% of residents on the Moss live in Flats/Apartments, (compared to less than 2% in 2001) which is significantly lower than Blackpool, where 25% of residents live in Flats/Apartments.</w:t>
      </w:r>
    </w:p>
    <w:sectPr w:rsidR="007A360D" w:rsidRPr="007A36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16DC3" w14:textId="77777777" w:rsidR="009B6619" w:rsidRDefault="009B6619" w:rsidP="000B5A04">
      <w:pPr>
        <w:spacing w:after="0" w:line="240" w:lineRule="auto"/>
      </w:pPr>
      <w:r>
        <w:separator/>
      </w:r>
    </w:p>
  </w:endnote>
  <w:endnote w:type="continuationSeparator" w:id="0">
    <w:p w14:paraId="010179F2" w14:textId="77777777" w:rsidR="009B6619" w:rsidRDefault="009B6619" w:rsidP="000B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0FF9E" w14:textId="77777777" w:rsidR="009B6619" w:rsidRDefault="009B6619" w:rsidP="000B5A04">
      <w:pPr>
        <w:spacing w:after="0" w:line="240" w:lineRule="auto"/>
      </w:pPr>
      <w:r>
        <w:separator/>
      </w:r>
    </w:p>
  </w:footnote>
  <w:footnote w:type="continuationSeparator" w:id="0">
    <w:p w14:paraId="384F3AD3" w14:textId="77777777" w:rsidR="009B6619" w:rsidRDefault="009B6619" w:rsidP="000B5A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6847"/>
    <w:rsid w:val="00014737"/>
    <w:rsid w:val="00081CC6"/>
    <w:rsid w:val="000B5A04"/>
    <w:rsid w:val="00125518"/>
    <w:rsid w:val="00272B1D"/>
    <w:rsid w:val="00346FA3"/>
    <w:rsid w:val="003518B6"/>
    <w:rsid w:val="0036601C"/>
    <w:rsid w:val="00367F02"/>
    <w:rsid w:val="003813B7"/>
    <w:rsid w:val="00582574"/>
    <w:rsid w:val="00646227"/>
    <w:rsid w:val="006D6847"/>
    <w:rsid w:val="007A360D"/>
    <w:rsid w:val="008D5270"/>
    <w:rsid w:val="009A65D2"/>
    <w:rsid w:val="009B6619"/>
    <w:rsid w:val="00A762D5"/>
    <w:rsid w:val="00B41717"/>
    <w:rsid w:val="00E20DB2"/>
    <w:rsid w:val="00F47F13"/>
    <w:rsid w:val="00FB73C7"/>
    <w:rsid w:val="00FC6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9BDEE"/>
  <w15:docId w15:val="{1BD7F0CB-9043-B044-9F68-67D016E9A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6847"/>
    <w:rPr>
      <w:color w:val="0000FF" w:themeColor="hyperlink"/>
      <w:u w:val="single"/>
    </w:rPr>
  </w:style>
  <w:style w:type="paragraph" w:styleId="BalloonText">
    <w:name w:val="Balloon Text"/>
    <w:basedOn w:val="Normal"/>
    <w:link w:val="BalloonTextChar"/>
    <w:uiPriority w:val="99"/>
    <w:semiHidden/>
    <w:unhideWhenUsed/>
    <w:rsid w:val="00014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737"/>
    <w:rPr>
      <w:rFonts w:ascii="Tahoma" w:hAnsi="Tahoma" w:cs="Tahoma"/>
      <w:sz w:val="16"/>
      <w:szCs w:val="16"/>
    </w:rPr>
  </w:style>
  <w:style w:type="paragraph" w:styleId="Header">
    <w:name w:val="header"/>
    <w:basedOn w:val="Normal"/>
    <w:link w:val="HeaderChar"/>
    <w:uiPriority w:val="99"/>
    <w:unhideWhenUsed/>
    <w:rsid w:val="000B5A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A04"/>
  </w:style>
  <w:style w:type="paragraph" w:styleId="Footer">
    <w:name w:val="footer"/>
    <w:basedOn w:val="Normal"/>
    <w:link w:val="FooterChar"/>
    <w:uiPriority w:val="99"/>
    <w:unhideWhenUsed/>
    <w:rsid w:val="000B5A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3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omisweb.co.u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Blackpool Council</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Shand</dc:creator>
  <cp:lastModifiedBy>paul hargreaves</cp:lastModifiedBy>
  <cp:revision>13</cp:revision>
  <cp:lastPrinted>2018-05-10T11:52:00Z</cp:lastPrinted>
  <dcterms:created xsi:type="dcterms:W3CDTF">2018-05-10T11:52:00Z</dcterms:created>
  <dcterms:modified xsi:type="dcterms:W3CDTF">2020-02-07T15:02:00Z</dcterms:modified>
</cp:coreProperties>
</file>